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360" w:after="80"/>
        <w:rPr/>
      </w:pPr>
      <w:bookmarkStart w:id="0" w:name="Xd92c5b1e71627f9a5c3cc5adff3f9a83893faa6"/>
      <w:r>
        <w:rPr/>
        <w:t>Cosigo Silver Custody and Commitment Affidavit</w:t>
      </w:r>
    </w:p>
    <w:p>
      <w:pPr>
        <w:pStyle w:val="Heading2"/>
        <w:rPr/>
      </w:pPr>
      <w:bookmarkStart w:id="1" w:name="non-sovereign-custodian-refined"/>
      <w:r>
        <w:rPr/>
        <w:t>(Non-Sovereign Custodian — Refined)</w:t>
      </w:r>
    </w:p>
    <w:p>
      <w:pPr>
        <w:pStyle w:val="FirstParagraph"/>
        <w:rPr/>
      </w:pPr>
      <w:r>
        <w:rPr>
          <w:b/>
          <w:bCs/>
        </w:rPr>
        <w:t>Disclaimer</w:t>
      </w:r>
      <w:r>
        <w:rPr/>
        <w:br/>
        <w:t>This affidavit is not a prospectus, solicitation of investment, or securities offering. It is a sworn declaration made in good faith to disclose the existence, custody, and intended application of physical silver within the Cosigo Project.</w:t>
      </w:r>
    </w:p>
    <w:p>
      <w:pPr>
        <w:pStyle w:val="BodyText"/>
        <w:rPr/>
      </w:pPr>
      <w:r>
        <w:rPr/>
        <w:t>Participation in Cosigo involves material risk. No guarantee of outcome, value, liquidity, redemption, or legal recognition is made or implied.</w:t>
      </w:r>
    </w:p>
    <w:p>
      <w:pPr>
        <w:pStyle w:val="Normal"/>
        <w:rPr/>
      </w:pPr>
      <w:bookmarkStart w:id="2" w:name="non-sovereign-custodian-refined"/>
      <w:r>
        <w:rPr/>
        <mc:AlternateContent>
          <mc:Choice Requires="wps">
            <w:drawing>
              <wp:inline distT="0" distB="0" distL="0" distR="0">
                <wp:extent cx="594360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2"/>
    </w:p>
    <w:p>
      <w:pPr>
        <w:pStyle w:val="Heading2"/>
        <w:rPr/>
      </w:pPr>
      <w:bookmarkStart w:id="3" w:name="Xda36d684b603ae49b37c21a804a8b2e83faa9b5"/>
      <w:r>
        <w:rPr/>
        <w:t>I. Declaration of Custodianship (Civil Law)</w:t>
      </w:r>
    </w:p>
    <w:p>
      <w:pPr>
        <w:pStyle w:val="FirstParagraph"/>
        <w:rPr/>
      </w:pPr>
      <w:r>
        <w:rPr/>
        <w:t xml:space="preserve">I, ________________________________________________ (Full Legal Name), holder of identification ________________________________________________ (Identification Type &amp; Number), acting in a </w:t>
      </w:r>
      <w:r>
        <w:rPr>
          <w:b/>
          <w:bCs/>
        </w:rPr>
        <w:t>non-sovereign capacity</w:t>
      </w:r>
      <w:r>
        <w:rPr/>
        <w:t xml:space="preserve"> and subject to the civil law jurisdiction of ________________________________________________ (Country / State), do solemnly swear and affirm under penalty of perjury as follows:</w:t>
      </w:r>
    </w:p>
    <w:p>
      <w:pPr>
        <w:pStyle w:val="Heading3"/>
        <w:rPr/>
      </w:pPr>
      <w:bookmarkStart w:id="4" w:name="role-and-status"/>
      <w:r>
        <w:rPr/>
        <w:t>1. Role and Status</w:t>
      </w:r>
    </w:p>
    <w:p>
      <w:pPr>
        <w:pStyle w:val="FirstParagraph"/>
        <w:rPr/>
      </w:pPr>
      <w:r>
        <w:rPr/>
        <w:t xml:space="preserve">I serve as a </w:t>
      </w:r>
      <w:r>
        <w:rPr>
          <w:b/>
          <w:bCs/>
        </w:rPr>
        <w:t>Silver Custodian</w:t>
      </w:r>
      <w:r>
        <w:rPr/>
        <w:t xml:space="preserve"> (also referred to operationally as a microbank) within the Cosigo framework. I hold in secure custody ________________________________________________ troy ounces of physical silver, located generally at ________________________________________________.</w:t>
      </w:r>
    </w:p>
    <w:p>
      <w:pPr>
        <w:pStyle w:val="BodyText"/>
        <w:rPr/>
      </w:pPr>
      <w:r>
        <w:rPr/>
        <w:t>As a non-sovereign custodian, I act under the authority and limitations of applicable civil law. All disputes, obligations, and remedies relating to this affidavit are governed by the civil law of the stated jurisdiction.</w:t>
      </w:r>
    </w:p>
    <w:p>
      <w:pPr>
        <w:pStyle w:val="BodyText"/>
        <w:rPr/>
      </w:pPr>
      <w:r>
        <w:rPr/>
        <w:t>Participants engaging with this affidavit acknowledge that their claims, if any, are likewise subject to civil law and may be limited, delayed, or unavailable.</w:t>
      </w:r>
    </w:p>
    <w:p>
      <w:pPr>
        <w:pStyle w:val="BodyText"/>
        <w:rPr/>
      </w:pPr>
      <w:r>
        <w:rPr>
          <w:b/>
          <w:bCs/>
        </w:rPr>
        <w:t>Transition of Status:</w:t>
      </w:r>
      <w:r>
        <w:rPr/>
        <w:t xml:space="preserve"> A custodian operating under civil law who later elects to claim sovereign capacity may only be recognized as such upon submission of a separate sworn transition affidavit, witnessed by two parties, delivered by certified mail to Cosigo headquarters, and published to the Cosigo affidavit ledger. Until such filing is complete, this custodian remains governed by civil law.</w:t>
      </w:r>
    </w:p>
    <w:p>
      <w:pPr>
        <w:pStyle w:val="Normal"/>
        <w:rPr/>
      </w:pPr>
      <w:bookmarkStart w:id="5" w:name="role-and-status"/>
      <w:r>
        <w:rPr/>
        <mc:AlternateContent>
          <mc:Choice Requires="wps">
            <w:drawing>
              <wp:inline distT="0" distB="0" distL="0" distR="0">
                <wp:extent cx="5943600" cy="19050"/>
                <wp:effectExtent l="0" t="0" r="0" b="0"/>
                <wp:docPr id="3" name=""/>
                <a:graphic xmlns:a="http://schemas.openxmlformats.org/drawingml/2006/main">
                  <a:graphicData uri="http://schemas.microsoft.com/office/word/2010/wordprocessingShape">
                    <wps:wsp>
                      <wps:cNvSpPr/>
                      <wps:nvSpPr>
                        <wps:cNvPr id="4"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5"/>
    </w:p>
    <w:p>
      <w:pPr>
        <w:pStyle w:val="Heading3"/>
        <w:rPr/>
      </w:pPr>
      <w:bookmarkStart w:id="6" w:name="X1a270dd5754279b84295b08d46dbf5d8beffcdf"/>
      <w:r>
        <w:rPr/>
        <w:t>2. Silver-Backed Standard and Technology Scope</w:t>
      </w:r>
    </w:p>
    <w:p>
      <w:pPr>
        <w:pStyle w:val="FirstParagraph"/>
        <w:rPr/>
      </w:pPr>
      <w:r>
        <w:rPr/>
        <w:t xml:space="preserve">The silver described herein is dedicated to supporting Cosigo representations at a reference standard of </w:t>
      </w:r>
      <w:r>
        <w:rPr>
          <w:b/>
          <w:bCs/>
        </w:rPr>
        <w:t>1 Cosigo unit = 1 milligram of silver</w:t>
      </w:r>
      <w:r>
        <w:rPr/>
        <w:t>, subject to the Cosigo Codex and applicable policies.</w:t>
      </w:r>
    </w:p>
    <w:p>
      <w:pPr>
        <w:pStyle w:val="BodyText"/>
        <w:rPr/>
      </w:pPr>
      <w:r>
        <w:rPr/>
        <w:t>Current use of ERC-20 infrastructure is a matter of technical availability and convenience only. Statements regarding potential future transitions, alternative architectures, or governance evolution express intent rather than obligation and shall not be relied upon as guarantees or inducements.</w:t>
      </w:r>
    </w:p>
    <w:p>
      <w:pPr>
        <w:pStyle w:val="Normal"/>
        <w:rPr/>
      </w:pPr>
      <w:bookmarkStart w:id="7" w:name="X1a270dd5754279b84295b08d46dbf5d8beffcdf"/>
      <w:r>
        <w:rPr/>
        <mc:AlternateContent>
          <mc:Choice Requires="wps">
            <w:drawing>
              <wp:inline distT="0" distB="0" distL="0" distR="0">
                <wp:extent cx="5943600" cy="19050"/>
                <wp:effectExtent l="0" t="0" r="0" b="0"/>
                <wp:docPr id="5" name=""/>
                <a:graphic xmlns:a="http://schemas.openxmlformats.org/drawingml/2006/main">
                  <a:graphicData uri="http://schemas.microsoft.com/office/word/2010/wordprocessingShape">
                    <wps:wsp>
                      <wps:cNvSpPr/>
                      <wps:nvSpPr>
                        <wps:cNvPr id="6"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7"/>
    </w:p>
    <w:p>
      <w:pPr>
        <w:pStyle w:val="Heading3"/>
        <w:rPr/>
      </w:pPr>
      <w:bookmarkStart w:id="8" w:name="codex-duty-good-faith"/>
      <w:r>
        <w:rPr/>
        <w:t>3. Codex Duty (Good Faith)</w:t>
      </w:r>
    </w:p>
    <w:p>
      <w:pPr>
        <w:pStyle w:val="FirstParagraph"/>
        <w:rPr/>
      </w:pPr>
      <w:r>
        <w:rPr/>
        <w:t>I commit to uphold the Cosigo Codex in good faith, including honesty and transparency in issuance, registration, redemption requests, and settlement processes, within the limits of applicable law and operational capacity.</w:t>
      </w:r>
    </w:p>
    <w:p>
      <w:pPr>
        <w:pStyle w:val="Normal"/>
        <w:rPr/>
      </w:pPr>
      <w:bookmarkStart w:id="9" w:name="codex-duty-good-faith"/>
      <w:r>
        <w:rPr/>
        <mc:AlternateContent>
          <mc:Choice Requires="wps">
            <w:drawing>
              <wp:inline distT="0" distB="0" distL="0" distR="0">
                <wp:extent cx="5943600" cy="19050"/>
                <wp:effectExtent l="0" t="0" r="0" b="0"/>
                <wp:docPr id="7" name=""/>
                <a:graphic xmlns:a="http://schemas.openxmlformats.org/drawingml/2006/main">
                  <a:graphicData uri="http://schemas.microsoft.com/office/word/2010/wordprocessingShape">
                    <wps:wsp>
                      <wps:cNvSpPr/>
                      <wps:nvSpPr>
                        <wps:cNvPr id="8"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9"/>
    </w:p>
    <w:p>
      <w:pPr>
        <w:pStyle w:val="Heading3"/>
        <w:rPr/>
      </w:pPr>
      <w:bookmarkStart w:id="10" w:name="fees"/>
      <w:r>
        <w:rPr/>
        <w:t>4. Fees</w:t>
      </w:r>
    </w:p>
    <w:p>
      <w:pPr>
        <w:pStyle w:val="FirstParagraph"/>
        <w:rPr/>
      </w:pPr>
      <w:r>
        <w:rPr/>
        <w:t>Fees may include, without limitation: - Minting or registration fees - Redemption or withdrawal fees - Shipping, insurance, and logistics costs borne by the redeemer - Administrative or commission fees disclosed publicly</w:t>
      </w:r>
    </w:p>
    <w:p>
      <w:pPr>
        <w:pStyle w:val="BodyText"/>
        <w:rPr/>
      </w:pPr>
      <w:r>
        <w:rPr/>
        <w:t>All fees shall be disclosed in advance. No undisclosed charges shall be imposed.</w:t>
      </w:r>
    </w:p>
    <w:p>
      <w:pPr>
        <w:pStyle w:val="Normal"/>
        <w:rPr/>
      </w:pPr>
      <w:bookmarkStart w:id="11" w:name="fees"/>
      <w:r>
        <w:rPr/>
        <mc:AlternateContent>
          <mc:Choice Requires="wps">
            <w:drawing>
              <wp:inline distT="0" distB="0" distL="0" distR="0">
                <wp:extent cx="5943600" cy="19050"/>
                <wp:effectExtent l="0" t="0" r="0" b="0"/>
                <wp:docPr id="9" name=""/>
                <a:graphic xmlns:a="http://schemas.openxmlformats.org/drawingml/2006/main">
                  <a:graphicData uri="http://schemas.microsoft.com/office/word/2010/wordprocessingShape">
                    <wps:wsp>
                      <wps:cNvSpPr/>
                      <wps:nvSpPr>
                        <wps:cNvPr id="10"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11"/>
    </w:p>
    <w:p>
      <w:pPr>
        <w:pStyle w:val="Heading3"/>
        <w:rPr/>
      </w:pPr>
      <w:bookmarkStart w:id="12" w:name="redemptions-reserves-and-restitution"/>
      <w:r>
        <w:rPr/>
        <w:t>5. Redemptions, Reserves, and Restitution</w:t>
      </w:r>
    </w:p>
    <w:p>
      <w:pPr>
        <w:pStyle w:val="FirstParagraph"/>
        <w:rPr/>
      </w:pPr>
      <w:r>
        <w:rPr/>
        <w:t>Redemptions are subject to operational capacity, legal constraint, and force majeure.</w:t>
      </w:r>
    </w:p>
    <w:p>
      <w:pPr>
        <w:pStyle w:val="BodyText"/>
        <w:rPr/>
      </w:pPr>
      <w:r>
        <w:rPr/>
        <w:t xml:space="preserve">As a matter of good-faith policy, I commit to maintaining reserves exceeding outstanding commitments, with a stated target of up to double the committed amount. This policy </w:t>
      </w:r>
      <w:r>
        <w:rPr>
          <w:b/>
          <w:bCs/>
        </w:rPr>
        <w:t>reduces exposure to loss</w:t>
      </w:r>
      <w:r>
        <w:rPr/>
        <w:t xml:space="preserve"> but does </w:t>
      </w:r>
      <w:r>
        <w:rPr>
          <w:b/>
          <w:bCs/>
        </w:rPr>
        <w:t>not</w:t>
      </w:r>
      <w:r>
        <w:rPr/>
        <w:t xml:space="preserve"> constitute a guarantee, insurance, or assurance that restitution will always be possible under all conditions.</w:t>
      </w:r>
    </w:p>
    <w:p>
      <w:pPr>
        <w:pStyle w:val="BodyText"/>
        <w:rPr/>
      </w:pPr>
      <w:r>
        <w:rPr/>
        <w:t>In the event of loss, damage, or non-fulfillment attributable to negligence or fraud, restitution shall be attempted in physical silver from uncommitted reserves, subject to availability and law.</w:t>
      </w:r>
    </w:p>
    <w:p>
      <w:pPr>
        <w:pStyle w:val="Normal"/>
        <w:rPr/>
      </w:pPr>
      <w:bookmarkStart w:id="13" w:name="redemptions-reserves-and-restitution"/>
      <w:r>
        <w:rPr/>
        <mc:AlternateContent>
          <mc:Choice Requires="wps">
            <w:drawing>
              <wp:inline distT="0" distB="0" distL="0" distR="0">
                <wp:extent cx="5943600" cy="19050"/>
                <wp:effectExtent l="0" t="0" r="0" b="0"/>
                <wp:docPr id="11" name=""/>
                <a:graphic xmlns:a="http://schemas.openxmlformats.org/drawingml/2006/main">
                  <a:graphicData uri="http://schemas.microsoft.com/office/word/2010/wordprocessingShape">
                    <wps:wsp>
                      <wps:cNvSpPr/>
                      <wps:nvSpPr>
                        <wps:cNvPr id="12"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13"/>
    </w:p>
    <w:p>
      <w:pPr>
        <w:pStyle w:val="Heading3"/>
        <w:rPr/>
      </w:pPr>
      <w:bookmarkStart w:id="14" w:name="liability"/>
      <w:r>
        <w:rPr/>
        <w:t>6. Liability</w:t>
      </w:r>
    </w:p>
    <w:p>
      <w:pPr>
        <w:pStyle w:val="FirstParagraph"/>
        <w:rPr/>
      </w:pPr>
      <w:r>
        <w:rPr/>
        <w:t>I accept liability for negligence or fraud within the limits of civil law. I do not accept liability for force majeure events beyond reasonable control, including but not limited to war, confiscation, natural disaster, border closure, or systemic disruption.</w:t>
      </w:r>
    </w:p>
    <w:p>
      <w:pPr>
        <w:pStyle w:val="Normal"/>
        <w:rPr/>
      </w:pPr>
      <w:bookmarkStart w:id="15" w:name="Xda36d684b603ae49b37c21a804a8b2e83faa9b5"/>
      <w:bookmarkStart w:id="16" w:name="liability"/>
      <w:r>
        <w:rPr/>
        <mc:AlternateContent>
          <mc:Choice Requires="wps">
            <w:drawing>
              <wp:inline distT="0" distB="0" distL="0" distR="0">
                <wp:extent cx="5943600" cy="19050"/>
                <wp:effectExtent l="0" t="0" r="0" b="0"/>
                <wp:docPr id="13" name=""/>
                <a:graphic xmlns:a="http://schemas.openxmlformats.org/drawingml/2006/main">
                  <a:graphicData uri="http://schemas.microsoft.com/office/word/2010/wordprocessingShape">
                    <wps:wsp>
                      <wps:cNvSpPr/>
                      <wps:nvSpPr>
                        <wps:cNvPr id="14"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15"/>
      <w:bookmarkEnd w:id="16"/>
    </w:p>
    <w:p>
      <w:pPr>
        <w:pStyle w:val="Heading2"/>
        <w:rPr/>
      </w:pPr>
      <w:bookmarkStart w:id="17" w:name="Xb4037ee3f2a22de9322b51981e450f9d2b29f0c"/>
      <w:r>
        <w:rPr/>
        <w:t>II. Disclosure of Hypothecation and Third-Party Risk</w:t>
      </w:r>
    </w:p>
    <w:p>
      <w:pPr>
        <w:pStyle w:val="FirstParagraph"/>
        <w:rPr/>
      </w:pPr>
      <w:r>
        <w:rPr/>
        <w:t>I acknowledge and affirm that any asset or representation associated with Cosigo may be referenced, reused, pledged, abstracted, or leveraged by third parties beyond the control of the Custodian or the Cosigo Project. This includes, without limitation, off-chain derivatives, lending arrangements, synthetic exposure, custodial over-issuance, or secondary claims.</w:t>
      </w:r>
    </w:p>
    <w:p>
      <w:pPr>
        <w:pStyle w:val="BodyText"/>
        <w:rPr/>
      </w:pPr>
      <w:r>
        <w:rPr/>
        <w:t>Neither the Custodian nor the Cosigo Project represents that such activity can be prevented, detected, or unwound.</w:t>
      </w:r>
    </w:p>
    <w:p>
      <w:pPr>
        <w:pStyle w:val="BodyText"/>
        <w:rPr/>
      </w:pPr>
      <w:r>
        <w:rPr/>
        <w:t>No central reserve, insurance pool, guarantor, lender of last resort, or systemic backstop exists. Losses are not socialized.</w:t>
      </w:r>
    </w:p>
    <w:p>
      <w:pPr>
        <w:pStyle w:val="Normal"/>
        <w:rPr/>
      </w:pPr>
      <w:bookmarkStart w:id="18" w:name="Xb4037ee3f2a22de9322b51981e450f9d2b29f0c"/>
      <w:r>
        <w:rPr/>
        <mc:AlternateContent>
          <mc:Choice Requires="wps">
            <w:drawing>
              <wp:inline distT="0" distB="0" distL="0" distR="0">
                <wp:extent cx="5943600" cy="19050"/>
                <wp:effectExtent l="0" t="0" r="0" b="0"/>
                <wp:docPr id="15" name=""/>
                <a:graphic xmlns:a="http://schemas.openxmlformats.org/drawingml/2006/main">
                  <a:graphicData uri="http://schemas.microsoft.com/office/word/2010/wordprocessingShape">
                    <wps:wsp>
                      <wps:cNvSpPr/>
                      <wps:nvSpPr>
                        <wps:cNvPr id="16"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18"/>
    </w:p>
    <w:p>
      <w:pPr>
        <w:pStyle w:val="Heading2"/>
        <w:rPr/>
      </w:pPr>
      <w:bookmarkStart w:id="19" w:name="iii.-verification-evidence"/>
      <w:r>
        <w:rPr/>
        <w:t>III. Verification Evidence</w:t>
      </w:r>
    </w:p>
    <w:p>
      <w:pPr>
        <w:pStyle w:val="FirstParagraph"/>
        <w:rPr/>
      </w:pPr>
      <w:r>
        <w:rPr/>
        <w:t>A sworn statement documenting the physical silver described herein has been recorded on video in the presence of witnesses.</w:t>
      </w:r>
    </w:p>
    <w:p>
      <w:pPr>
        <w:pStyle w:val="BodyText"/>
        <w:rPr/>
      </w:pPr>
      <w:r>
        <w:rPr>
          <w:b/>
          <w:bCs/>
        </w:rPr>
        <w:t>SHA-256 checksum of evidence file:</w:t>
      </w:r>
    </w:p>
    <w:p>
      <w:pPr>
        <w:pStyle w:val="SourceCode"/>
        <w:rPr/>
      </w:pPr>
      <w:r>
        <w:rPr>
          <w:rStyle w:val="VerbatimChar"/>
        </w:rPr>
        <w:t>________________________________</w:t>
      </w:r>
    </w:p>
    <w:p>
      <w:pPr>
        <w:pStyle w:val="FirstParagraph"/>
        <w:rPr/>
      </w:pPr>
      <w:r>
        <w:rPr/>
        <w:t>The recording depicts the custodian, witnesses, and visible silver in a continuous, unedited sequence. Any alteration invalidates the evidence.</w:t>
      </w:r>
    </w:p>
    <w:p>
      <w:pPr>
        <w:pStyle w:val="BodyText"/>
        <w:rPr/>
      </w:pPr>
      <w:r>
        <w:rPr/>
        <w:t>A certified mail package containing this affidavit may be delivered to Cosigo headquarters and published to the Cosigo affidavit ledger.</w:t>
      </w:r>
    </w:p>
    <w:p>
      <w:pPr>
        <w:pStyle w:val="Normal"/>
        <w:rPr/>
      </w:pPr>
      <w:bookmarkStart w:id="20" w:name="iii.-verification-evidence"/>
      <w:r>
        <w:rPr/>
        <mc:AlternateContent>
          <mc:Choice Requires="wps">
            <w:drawing>
              <wp:inline distT="0" distB="0" distL="0" distR="0">
                <wp:extent cx="5943600" cy="19050"/>
                <wp:effectExtent l="0" t="0" r="0" b="0"/>
                <wp:docPr id="17" name=""/>
                <a:graphic xmlns:a="http://schemas.openxmlformats.org/drawingml/2006/main">
                  <a:graphicData uri="http://schemas.microsoft.com/office/word/2010/wordprocessingShape">
                    <wps:wsp>
                      <wps:cNvSpPr/>
                      <wps:nvSpPr>
                        <wps:cNvPr id="18"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20"/>
    </w:p>
    <w:p>
      <w:pPr>
        <w:pStyle w:val="Heading2"/>
        <w:rPr/>
      </w:pPr>
      <w:bookmarkStart w:id="21" w:name="iv.-witness-attestation"/>
      <w:r>
        <w:rPr/>
        <w:t>IV. Witness Attestation</w:t>
      </w:r>
    </w:p>
    <w:p>
      <w:pPr>
        <w:pStyle w:val="FirstParagraph"/>
        <w:rPr/>
      </w:pPr>
      <w:r>
        <w:rPr/>
        <w:t>We, the undersigned witnesses, attest that this affidavit was executed knowingly and voluntarily in our presence. We do not attest to the truth of the underlying assertions.</w:t>
      </w:r>
    </w:p>
    <w:p>
      <w:pPr>
        <w:pStyle w:val="BodyText"/>
        <w:rPr/>
      </w:pPr>
      <w:r>
        <w:rPr>
          <w:b/>
          <w:bCs/>
        </w:rPr>
        <w:t>Witness 1 (Printed Name &amp; Signature):</w:t>
      </w:r>
      <w:r>
        <w:rPr/>
        <w:t xml:space="preserve"> ________________________________________________</w:t>
        <w:br/>
      </w:r>
      <w:r>
        <w:rPr>
          <w:b/>
          <w:bCs/>
        </w:rPr>
        <w:t>Date:</w:t>
      </w:r>
      <w:r>
        <w:rPr/>
        <w:t xml:space="preserve"> ____________________</w:t>
        <w:br/>
      </w:r>
      <w:r>
        <w:rPr>
          <w:b/>
          <w:bCs/>
        </w:rPr>
        <w:t>Location:</w:t>
      </w:r>
      <w:r>
        <w:rPr/>
        <w:t xml:space="preserve"> ________________________________________________</w:t>
      </w:r>
    </w:p>
    <w:p>
      <w:pPr>
        <w:pStyle w:val="BodyText"/>
        <w:rPr/>
      </w:pPr>
      <w:r>
        <w:rPr>
          <w:b/>
          <w:bCs/>
        </w:rPr>
        <w:t>Witness 2 (Printed Name &amp; Signature):</w:t>
      </w:r>
      <w:r>
        <w:rPr/>
        <w:t xml:space="preserve"> ________________________________________________</w:t>
        <w:br/>
      </w:r>
      <w:r>
        <w:rPr>
          <w:b/>
          <w:bCs/>
        </w:rPr>
        <w:t>Date:</w:t>
      </w:r>
      <w:r>
        <w:rPr/>
        <w:t xml:space="preserve"> ____________________</w:t>
        <w:br/>
      </w:r>
      <w:r>
        <w:rPr>
          <w:b/>
          <w:bCs/>
        </w:rPr>
        <w:t>Location:</w:t>
      </w:r>
      <w:r>
        <w:rPr/>
        <w:t xml:space="preserve"> ________________________________________________</w:t>
      </w:r>
    </w:p>
    <w:p>
      <w:pPr>
        <w:pStyle w:val="Normal"/>
        <w:rPr/>
      </w:pPr>
      <w:bookmarkStart w:id="22" w:name="iv.-witness-attestation"/>
      <w:r>
        <w:rPr/>
        <mc:AlternateContent>
          <mc:Choice Requires="wps">
            <w:drawing>
              <wp:inline distT="0" distB="0" distL="0" distR="0">
                <wp:extent cx="5943600" cy="19050"/>
                <wp:effectExtent l="0" t="0" r="0" b="0"/>
                <wp:docPr id="19" name=""/>
                <a:graphic xmlns:a="http://schemas.openxmlformats.org/drawingml/2006/main">
                  <a:graphicData uri="http://schemas.microsoft.com/office/word/2010/wordprocessingShape">
                    <wps:wsp>
                      <wps:cNvSpPr/>
                      <wps:nvSpPr>
                        <wps:cNvPr id="20"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22"/>
    </w:p>
    <w:p>
      <w:pPr>
        <w:pStyle w:val="Heading2"/>
        <w:rPr/>
      </w:pPr>
      <w:bookmarkStart w:id="23" w:name="v.-custodian-signature"/>
      <w:r>
        <w:rPr/>
        <w:t>V. Custodian Signature</w:t>
      </w:r>
    </w:p>
    <w:p>
      <w:pPr>
        <w:pStyle w:val="FirstParagraph"/>
        <w:rPr/>
      </w:pPr>
      <w:r>
        <w:rPr>
          <w:b/>
          <w:bCs/>
        </w:rPr>
        <w:t>Name:</w:t>
      </w:r>
      <w:r>
        <w:rPr/>
        <w:t xml:space="preserve"> ________________________________________________</w:t>
        <w:br/>
      </w:r>
      <w:r>
        <w:rPr>
          <w:b/>
          <w:bCs/>
        </w:rPr>
        <w:t>Signature:</w:t>
      </w:r>
      <w:r>
        <w:rPr/>
        <w:t xml:space="preserve"> ________________________________________________</w:t>
        <w:br/>
      </w:r>
      <w:r>
        <w:rPr>
          <w:b/>
          <w:bCs/>
        </w:rPr>
        <w:t>Date:</w:t>
      </w:r>
      <w:r>
        <w:rPr/>
        <w:t xml:space="preserve"> ____________________</w:t>
        <w:br/>
      </w:r>
      <w:r>
        <w:rPr>
          <w:b/>
          <w:bCs/>
        </w:rPr>
        <w:t>Location (City / State / Country):</w:t>
      </w:r>
      <w:r>
        <w:rPr/>
        <w:t xml:space="preserve"> ________________________________________________</w:t>
      </w:r>
    </w:p>
    <w:p>
      <w:pPr>
        <w:pStyle w:val="Normal"/>
        <w:rPr/>
      </w:pPr>
      <w:bookmarkStart w:id="24" w:name="v.-custodian-signature"/>
      <w:r>
        <w:rPr/>
        <mc:AlternateContent>
          <mc:Choice Requires="wps">
            <w:drawing>
              <wp:inline distT="0" distB="0" distL="0" distR="0">
                <wp:extent cx="5943600" cy="19050"/>
                <wp:effectExtent l="0" t="0" r="0" b="0"/>
                <wp:docPr id="21" name=""/>
                <a:graphic xmlns:a="http://schemas.openxmlformats.org/drawingml/2006/main">
                  <a:graphicData uri="http://schemas.microsoft.com/office/word/2010/wordprocessingShape">
                    <wps:wsp>
                      <wps:cNvSpPr/>
                      <wps:nvSpPr>
                        <wps:cNvPr id="22"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24"/>
    </w:p>
    <w:p>
      <w:pPr>
        <w:pStyle w:val="Heading2"/>
        <w:rPr/>
      </w:pPr>
      <w:bookmarkStart w:id="25" w:name="X77eac77badc094060b370c48b690a83acbfc3b3"/>
      <w:r>
        <w:rPr/>
        <w:t>VI. Civil Law Attestation (Notary Required)</w:t>
      </w:r>
    </w:p>
    <w:p>
      <w:pPr>
        <w:pStyle w:val="FirstParagraph"/>
        <w:rPr/>
      </w:pPr>
      <w:r>
        <w:rPr/>
        <w:t>This affidavit is executed under civil law jurisdiction and requires notarial acknowledgment for identity verification and formal execution.</w:t>
      </w:r>
    </w:p>
    <w:p>
      <w:pPr>
        <w:pStyle w:val="BodyText"/>
        <w:rPr/>
      </w:pPr>
      <w:r>
        <w:rPr>
          <w:b/>
          <w:bCs/>
        </w:rPr>
        <w:t>State / Province:</w:t>
      </w:r>
      <w:r>
        <w:rPr/>
        <w:t xml:space="preserve"> ________________________________________________</w:t>
        <w:br/>
      </w:r>
      <w:r>
        <w:rPr>
          <w:b/>
          <w:bCs/>
        </w:rPr>
        <w:t>County / District:</w:t>
      </w:r>
      <w:r>
        <w:rPr/>
        <w:t xml:space="preserve"> ________________________________________________</w:t>
      </w:r>
    </w:p>
    <w:p>
      <w:pPr>
        <w:pStyle w:val="BodyText"/>
        <w:rPr/>
      </w:pPr>
      <w:r>
        <w:rPr/>
        <w:t>On this _____ day of ____________________, 20_</w:t>
      </w:r>
      <w:r>
        <w:rPr>
          <w:b/>
          <w:bCs/>
          <w:i/>
          <w:iCs/>
        </w:rPr>
        <w:t xml:space="preserve">, before me, the undersigned notary public, personally appeared </w:t>
      </w:r>
      <w:r>
        <w:rPr/>
        <w:t>_____________________________________________, proved to me through satisfactory evidence of identification to be the person whose name is signed above, and acknowledged that the execution of this affidavit was voluntary.</w:t>
      </w:r>
    </w:p>
    <w:p>
      <w:pPr>
        <w:pStyle w:val="BodyText"/>
        <w:rPr/>
      </w:pPr>
      <w:r>
        <w:rPr>
          <w:b/>
          <w:bCs/>
        </w:rPr>
        <w:t>Notary Signature:</w:t>
      </w:r>
      <w:r>
        <w:rPr/>
        <w:t xml:space="preserve"> ________________________________________________</w:t>
        <w:br/>
      </w:r>
      <w:r>
        <w:rPr>
          <w:b/>
          <w:bCs/>
        </w:rPr>
        <w:t>Printed Name:</w:t>
      </w:r>
      <w:r>
        <w:rPr/>
        <w:t xml:space="preserve"> ________________________________________________</w:t>
        <w:br/>
      </w:r>
      <w:r>
        <w:rPr>
          <w:b/>
          <w:bCs/>
        </w:rPr>
        <w:t>Commission Number:</w:t>
      </w:r>
      <w:r>
        <w:rPr/>
        <w:t xml:space="preserve"> ____________________</w:t>
        <w:br/>
      </w:r>
      <w:r>
        <w:rPr>
          <w:b/>
          <w:bCs/>
        </w:rPr>
        <w:t>Commission Expiration:</w:t>
      </w:r>
      <w:r>
        <w:rPr/>
        <w:t xml:space="preserve"> ____________________</w:t>
      </w:r>
    </w:p>
    <w:p>
      <w:pPr>
        <w:pStyle w:val="BodyText"/>
        <w:rPr/>
      </w:pPr>
      <w:r>
        <w:rPr/>
        <w:t>(Notary Seal)</w:t>
      </w:r>
    </w:p>
    <w:p>
      <w:pPr>
        <w:pStyle w:val="Normal"/>
        <w:rPr/>
      </w:pPr>
      <w:bookmarkStart w:id="26" w:name="X77eac77badc094060b370c48b690a83acbfc3b3"/>
      <w:r>
        <w:rPr/>
        <mc:AlternateContent>
          <mc:Choice Requires="wps">
            <w:drawing>
              <wp:inline distT="0" distB="0" distL="0" distR="0">
                <wp:extent cx="5943600" cy="19050"/>
                <wp:effectExtent l="0" t="0" r="0" b="0"/>
                <wp:docPr id="23" name=""/>
                <a:graphic xmlns:a="http://schemas.openxmlformats.org/drawingml/2006/main">
                  <a:graphicData uri="http://schemas.microsoft.com/office/word/2010/wordprocessingShape">
                    <wps:wsp>
                      <wps:cNvSpPr/>
                      <wps:nvSpPr>
                        <wps:cNvPr id="24"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26"/>
    </w:p>
    <w:p>
      <w:pPr>
        <w:pStyle w:val="Heading2"/>
        <w:rPr/>
      </w:pPr>
      <w:bookmarkStart w:id="27" w:name="Xdf0463ffc4525ca68d3bc9553c60cc69a4c05b5"/>
      <w:r>
        <w:rPr/>
        <w:t>Annex — Public Posting and Amendment Notice</w:t>
      </w:r>
    </w:p>
    <w:p>
      <w:pPr>
        <w:pStyle w:val="FirstParagraph"/>
        <w:rPr/>
      </w:pPr>
      <w:r>
        <w:rPr/>
        <w:t>This affidavit, together with its hash and any amendments, may be published to the Cosigo affidavit ledger. Amendments do not retroactively guarantee outcomes. Participation remains voluntary, and exit remains available subject to settlement obligations then outstanding.</w:t>
      </w:r>
    </w:p>
    <w:p>
      <w:pPr>
        <w:pStyle w:val="Normal"/>
        <w:rPr/>
      </w:pPr>
      <w:bookmarkStart w:id="28" w:name="Xd92c5b1e71627f9a5c3cc5adff3f9a83893faa6"/>
      <w:bookmarkStart w:id="29" w:name="Xdf0463ffc4525ca68d3bc9553c60cc69a4c05b5"/>
      <w:r>
        <w:rPr/>
        <mc:AlternateContent>
          <mc:Choice Requires="wps">
            <w:drawing>
              <wp:inline distT="0" distB="0" distL="0" distR="0">
                <wp:extent cx="5943600" cy="19050"/>
                <wp:effectExtent l="0" t="0" r="0" b="0"/>
                <wp:docPr id="25" name=""/>
                <a:graphic xmlns:a="http://schemas.openxmlformats.org/drawingml/2006/main">
                  <a:graphicData uri="http://schemas.microsoft.com/office/word/2010/wordprocessingShape">
                    <wps:wsp>
                      <wps:cNvSpPr/>
                      <wps:nvSpPr>
                        <wps:cNvPr id="26"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28"/>
      <w:bookmarkEnd w:id="29"/>
    </w:p>
    <w:p>
      <w:pPr>
        <w:pStyle w:val="Heading1"/>
        <w:keepNext w:val="true"/>
        <w:keepLines/>
        <w:spacing w:before="360" w:after="80"/>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Consolas">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start"/>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link w:val="Heading1Char"/>
    <w:uiPriority w:val="9"/>
    <w:qFormat/>
    <w:rsid w:val="00a10fd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BodyText"/>
    <w:link w:val="Heading2Char"/>
    <w:uiPriority w:val="9"/>
    <w:semiHidden/>
    <w:unhideWhenUsed/>
    <w:qFormat/>
    <w:rsid w:val="00a10fd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BodyText"/>
    <w:link w:val="Heading3Char"/>
    <w:uiPriority w:val="9"/>
    <w:semiHidden/>
    <w:unhideWhenUsed/>
    <w:qFormat/>
    <w:rsid w:val="00a10fd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BodyText"/>
    <w:link w:val="Heading4Char"/>
    <w:uiPriority w:val="9"/>
    <w:semiHidden/>
    <w:unhideWhenUsed/>
    <w:qFormat/>
    <w:rsid w:val="00a10fd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BodyText"/>
    <w:link w:val="Heading5Char"/>
    <w:uiPriority w:val="9"/>
    <w:semiHidden/>
    <w:unhideWhenUsed/>
    <w:qFormat/>
    <w:rsid w:val="00a10fd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BodyText"/>
    <w:link w:val="Heading6Char"/>
    <w:uiPriority w:val="9"/>
    <w:semiHidden/>
    <w:unhideWhenUsed/>
    <w:qFormat/>
    <w:rsid w:val="00a10fd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BodyText"/>
    <w:link w:val="Heading7Char"/>
    <w:uiPriority w:val="9"/>
    <w:semiHidden/>
    <w:unhideWhenUsed/>
    <w:qFormat/>
    <w:rsid w:val="00a10fd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BodyText"/>
    <w:link w:val="Heading8Char"/>
    <w:uiPriority w:val="9"/>
    <w:semiHidden/>
    <w:unhideWhenUsed/>
    <w:qFormat/>
    <w:rsid w:val="00a10fd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BodyText"/>
    <w:link w:val="Heading9Char"/>
    <w:uiPriority w:val="9"/>
    <w:semiHidden/>
    <w:unhideWhenUsed/>
    <w:qFormat/>
    <w:rsid w:val="00a10fd9"/>
    <w:pPr>
      <w:keepNext w:val="true"/>
      <w:keepLines/>
      <w:spacing w:before="0" w:after="0"/>
      <w:outlineLvl w:val="8"/>
    </w:pPr>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10fd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10fd9"/>
    <w:rPr>
      <w:rFonts w:eastAsia="" w:cs="" w:cstheme="majorBidi" w:eastAsiaTheme="majorEastAsia"/>
      <w:color w:themeColor="text1" w:themeTint="a6" w:val="595959"/>
      <w:spacing w:val="15"/>
      <w:sz w:val="28"/>
      <w:szCs w:val="28"/>
    </w:rPr>
  </w:style>
  <w:style w:type="character" w:styleId="Heading1Char" w:customStyle="1">
    <w:name w:val="Heading 1 Char"/>
    <w:basedOn w:val="DefaultParagraphFont"/>
    <w:link w:val="Heading1"/>
    <w:uiPriority w:val="9"/>
    <w:qFormat/>
    <w:rsid w:val="00a10fd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10fd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10fd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10fd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10fd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10fd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10fd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10fd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10fd9"/>
    <w:rPr>
      <w:rFonts w:eastAsia="" w:cs="" w:cstheme="majorBidi" w:eastAsiaTheme="majorEastAsia"/>
      <w:color w:themeColor="text1" w:themeTint="d8" w:val="272727"/>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Noto Sans Devanagari"/>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Noto Sans Devanagari"/>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link w:val="TitleChar"/>
    <w:uiPriority w:val="10"/>
    <w:qFormat/>
    <w:rsid w:val="00a10fd9"/>
    <w:pPr>
      <w:spacing w:lineRule="auto" w:line="240" w:before="0" w:after="80"/>
      <w:contextualSpacing/>
      <w:jc w:val="center"/>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Title"/>
    <w:next w:val="BodyText"/>
    <w:link w:val="SubtitleChar"/>
    <w:uiPriority w:val="11"/>
    <w:qFormat/>
    <w:rsid w:val="00a10fd9"/>
    <w:pPr/>
    <w:rPr>
      <w:rFonts w:eastAsia="" w:cs="" w:cstheme="majorBidi" w:eastAsiaTheme="majorEastAsia"/>
      <w:spacing w:val="15"/>
      <w:sz w:val="28"/>
      <w:szCs w:val="28"/>
    </w:rPr>
  </w:style>
  <w:style w:type="paragraph" w:styleId="Author" w:customStyle="1">
    <w:name w:val="Author"/>
    <w:next w:val="BodyText"/>
    <w:qFormat/>
    <w:pPr>
      <w:keepNext w:val="true"/>
      <w:keepLines/>
      <w:widowControl/>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start="480" w:end="480"/>
    </w:pPr>
    <w:rPr/>
  </w:style>
  <w:style w:type="paragraph" w:styleId="FootnoteText">
    <w:name w:val="Footnote Text"/>
    <w:basedOn w:val="Normal"/>
    <w:uiPriority w:val="9"/>
    <w:unhideWhenUsed/>
    <w:qFormat/>
    <w:pPr/>
    <w:rPr/>
  </w:style>
  <w:style w:type="paragraph" w:styleId="FootnoteBlockText">
    <w:name w:val="Footnote Block Text"/>
    <w:basedOn w:val="FootnoteText"/>
    <w:next w:val="FootnoteText"/>
    <w:uiPriority w:val="9"/>
    <w:unhideWhenUsed/>
    <w:qFormat/>
    <w:pPr>
      <w:spacing w:before="100" w:after="100"/>
      <w:ind w:hanging="0" w:start="480" w:end="480"/>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80"/>
      <w:outlineLvl w:val="9"/>
    </w:pPr>
    <w:rPr>
      <w:rFonts w:ascii="Aptos Display" w:hAnsi="Aptos Display"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LibreOffice/24.2.7.2$Linux_X86_64 LibreOffice_project/420$Build-2</Application>
  <AppVersion>15.0000</AppVersion>
  <Pages>5</Pages>
  <Words>916</Words>
  <Characters>6239</Characters>
  <CharactersWithSpaces>7108</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2026-01-14T01:03:33Z</dcterms:created>
  <dc:creator/>
  <dc:description/>
  <dc:language>en-US</dc:language>
  <cp:lastModifiedBy/>
  <dcterms:modified xsi:type="dcterms:W3CDTF">2026-01-13T19:47:28Z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